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6" w:rsidRDefault="001A4104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noProof/>
          <w:sz w:val="20"/>
          <w:szCs w:val="20"/>
          <w:lang w:eastAsia="pl-PL"/>
        </w:rPr>
        <w:drawing>
          <wp:inline distT="0" distB="0" distL="0" distR="0">
            <wp:extent cx="9467850" cy="1126959"/>
            <wp:effectExtent l="19050" t="0" r="0" b="0"/>
            <wp:docPr id="2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67" cy="112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C6" w:rsidRDefault="00687AC6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51BF5" w:rsidRPr="00291454" w:rsidRDefault="00DD5CE9" w:rsidP="00C51BF5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B0AA8">
        <w:rPr>
          <w:rFonts w:asciiTheme="majorHAnsi" w:hAnsiTheme="majorHAnsi" w:cstheme="majorHAnsi"/>
          <w:b/>
          <w:sz w:val="20"/>
          <w:szCs w:val="20"/>
        </w:rPr>
        <w:t xml:space="preserve">Załącznik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do 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Ogłoszenia o naborze wniosków Stowarzyszenia </w:t>
      </w:r>
      <w:r w:rsidR="00687AC6">
        <w:rPr>
          <w:rFonts w:asciiTheme="majorHAnsi" w:hAnsiTheme="majorHAnsi" w:cstheme="majorHAnsi"/>
          <w:b/>
          <w:i/>
          <w:sz w:val="20"/>
          <w:szCs w:val="20"/>
        </w:rPr>
        <w:t>NASZA KRAJNA: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„Katalog maksymalnych stawek” dla konkursu nr </w:t>
      </w:r>
      <w:r w:rsidR="005757E6">
        <w:rPr>
          <w:rFonts w:asciiTheme="majorHAnsi" w:hAnsiTheme="majorHAnsi" w:cstheme="majorHAnsi"/>
          <w:b/>
          <w:sz w:val="20"/>
          <w:szCs w:val="20"/>
          <w:highlight w:val="yellow"/>
        </w:rPr>
        <w:t>5</w:t>
      </w:r>
      <w:r w:rsidR="00274FB8" w:rsidRPr="00274FB8">
        <w:rPr>
          <w:rFonts w:asciiTheme="majorHAnsi" w:hAnsiTheme="majorHAnsi" w:cstheme="majorHAnsi"/>
          <w:b/>
          <w:sz w:val="20"/>
          <w:szCs w:val="20"/>
          <w:highlight w:val="yellow"/>
        </w:rPr>
        <w:t>/20</w:t>
      </w:r>
      <w:r w:rsidR="005757E6">
        <w:rPr>
          <w:rFonts w:asciiTheme="majorHAnsi" w:hAnsiTheme="majorHAnsi" w:cstheme="majorHAnsi"/>
          <w:b/>
          <w:sz w:val="20"/>
          <w:szCs w:val="20"/>
          <w:highlight w:val="yellow"/>
        </w:rPr>
        <w:t>21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ogłoszonego przez Stowarzyszenie </w:t>
      </w:r>
      <w:r w:rsidR="00687AC6">
        <w:rPr>
          <w:rFonts w:asciiTheme="majorHAnsi" w:hAnsiTheme="majorHAnsi" w:cstheme="majorHAnsi"/>
          <w:b/>
          <w:sz w:val="20"/>
          <w:szCs w:val="20"/>
        </w:rPr>
        <w:t>NASZA KRAJNA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w ramach Regionalnego Programu Operacyjnego Województwa Kujawsko-Pomorskiego na lata 2014-2020, oś 11: Wzrost aktywizacji społeczno-zawodowej mieszkańców objętych Lokalnymi Strategiami Rozwoju, Działanie:11.1 Włączenie społeczne na obszarach objętych LSR.</w:t>
      </w:r>
    </w:p>
    <w:p w:rsidR="00C51BF5" w:rsidRPr="00291454" w:rsidRDefault="00C51BF5" w:rsidP="00C51BF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Stowarzyszenie </w:t>
      </w:r>
      <w:r w:rsidR="00687AC6">
        <w:rPr>
          <w:rFonts w:asciiTheme="majorHAnsi" w:hAnsiTheme="majorHAnsi" w:cstheme="majorHAnsi"/>
          <w:sz w:val="20"/>
          <w:szCs w:val="20"/>
        </w:rPr>
        <w:t>NASZA KRAJNA</w:t>
      </w:r>
      <w:r w:rsidRPr="00291454">
        <w:rPr>
          <w:rFonts w:asciiTheme="majorHAnsi" w:hAnsiTheme="majorHAnsi" w:cstheme="majorHAnsi"/>
          <w:sz w:val="20"/>
          <w:szCs w:val="20"/>
        </w:rPr>
        <w:t xml:space="preserve"> (dalej: LGD) określiło „Katalog maksymalnych stawek” (dalej: Katalog) obowiązujący dla wyżej wskazanego naboru wniosków.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1454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291454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zaplanowania w projekcie stawek </w:t>
      </w:r>
      <w:r w:rsidR="005757E6" w:rsidRPr="00291454">
        <w:rPr>
          <w:rFonts w:asciiTheme="majorHAnsi" w:hAnsiTheme="majorHAnsi" w:cstheme="majorHAnsi"/>
          <w:bCs/>
          <w:sz w:val="20"/>
          <w:szCs w:val="20"/>
        </w:rPr>
        <w:t>wyższych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 niż przewidziane w „Katalogu stawek maksymalnych” dla danych rodzajów kosztó</w:t>
      </w:r>
      <w:r w:rsidR="00C50122" w:rsidRPr="00291454">
        <w:rPr>
          <w:rFonts w:asciiTheme="majorHAnsi" w:hAnsiTheme="majorHAnsi" w:cstheme="majorHAnsi"/>
          <w:bCs/>
          <w:sz w:val="20"/>
          <w:szCs w:val="20"/>
        </w:rPr>
        <w:t>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291454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91454">
        <w:rPr>
          <w:rFonts w:asciiTheme="majorHAnsi" w:hAnsiTheme="majorHAnsi" w:cstheme="majorHAnsi"/>
          <w:sz w:val="20"/>
          <w:szCs w:val="20"/>
        </w:rPr>
        <w:t>,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:rsidR="00C51BF5" w:rsidRPr="00291454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Wytycznymi w zakresie kwalifikowania wydatków w ramach Europejskiego Funduszu Rozwoju Regionalnego, Europejskiego Funduszu Społecznego oraz Funduszu Spójności na lata 2014-2020,</w:t>
      </w:r>
    </w:p>
    <w:p w:rsidR="00C51BF5" w:rsidRPr="00291454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:rsidR="00C51BF5" w:rsidRPr="00291454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291454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291454">
        <w:rPr>
          <w:rFonts w:asciiTheme="majorHAnsi" w:hAnsiTheme="majorHAnsi" w:cstheme="majorHAnsi"/>
          <w:sz w:val="20"/>
          <w:szCs w:val="20"/>
        </w:rPr>
        <w:t>.</w:t>
      </w:r>
      <w:r w:rsidRPr="0029145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lastRenderedPageBreak/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Jasnasiatkaakcent5"/>
        <w:tblW w:w="4143" w:type="pct"/>
        <w:tblLayout w:type="fixed"/>
        <w:tblLook w:val="04A0" w:firstRow="1" w:lastRow="0" w:firstColumn="1" w:lastColumn="0" w:noHBand="0" w:noVBand="1"/>
      </w:tblPr>
      <w:tblGrid>
        <w:gridCol w:w="634"/>
        <w:gridCol w:w="2241"/>
        <w:gridCol w:w="1436"/>
        <w:gridCol w:w="2011"/>
        <w:gridCol w:w="6616"/>
      </w:tblGrid>
      <w:tr w:rsidR="00A52F09" w:rsidRPr="00291454" w:rsidTr="00A52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jc w:val="center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L.p.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Nazwa kosztu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Jednostka miary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Uwagi/podstawa kosztu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Asystent osoby niepełnosprawnej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3 800,00 zł etat (wynagrodzenie brutto z uwzględnieniem kosztów pracodawcy)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Warunkiem zatrudnienia AON jest ukończone kształcenie w zawodzie asystenta osoby niepełnosprawnej zgodnie z rozporządzeniem Ministra Edukacji Narodowej z dnia 7 lutego 2012 r. w sprawie podstawy programowej kształcenia w zawodach (Dz. U. poz. 184, z późn. zm.)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zajęciowy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4 200,00 zł etat (wynagrodzenie brutto z uwzględnieniem kosztów pracodawcy)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Pielęgniarka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4 600,00 zł etat (wynagrodzenie brutto z uwzględnieniem kosztów pracodawcy)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5 000,00 zł etat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Fizjoterapeuta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4 500,00 zł etat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(wynagrodzenie brutto z uwzględnieniem kosztów pracodawcy)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Prawnik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Rehabilitant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Dietetyk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Transport – wynajem auta/ busa do przewożenia uczestników 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kilometr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3,5 zł/km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D070CE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 xml:space="preserve">Szkolenia/ warsztaty/spotkania/poradnictwo z zakresu instrumentów aktywizacji społecznej 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2556" w:type="pct"/>
          </w:tcPr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Koszt uzależniony od zaplanowanej liczby i godzin zakresu wsparcia, przy czym: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godzinowy koszt trenera, osoby prowadzącej to 100,00 zł brutto;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dzienny koszt szkolenia 8-godzinnego w przypadku szkoleń zleconych (cena zawiera koszt trenera, sali, cateringu i materiałów) to 1500,00 zł brutto;- maksymalny koszt przerwy kawowej 15,00 zł 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:rsidR="00A52F09" w:rsidRPr="00D070CE" w:rsidRDefault="00A52F09" w:rsidP="00291454">
            <w:pPr>
              <w:pStyle w:val="Tekstprzypisudolneg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070CE">
              <w:rPr>
                <w:rFonts w:asciiTheme="majorHAnsi" w:hAnsiTheme="majorHAnsi" w:cstheme="majorHAnsi"/>
              </w:rPr>
              <w:t xml:space="preserve">- maksymalny koszt przerwy obiadowej </w:t>
            </w:r>
            <w:r w:rsidR="00F73680">
              <w:rPr>
                <w:rFonts w:asciiTheme="majorHAnsi" w:hAnsiTheme="majorHAnsi" w:cstheme="majorHAnsi"/>
              </w:rPr>
              <w:t>44</w:t>
            </w:r>
            <w:bookmarkStart w:id="0" w:name="_GoBack"/>
            <w:bookmarkEnd w:id="0"/>
            <w:r w:rsidRPr="00D070CE">
              <w:rPr>
                <w:rFonts w:asciiTheme="majorHAnsi" w:hAnsiTheme="majorHAnsi" w:cstheme="majorHAnsi"/>
              </w:rPr>
              <w:t xml:space="preserve">,00 zł brutto (Wyżywienie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</w:t>
            </w:r>
            <w:r w:rsidRPr="00D070CE">
              <w:rPr>
                <w:rFonts w:asciiTheme="majorHAnsi" w:hAnsiTheme="majorHAnsi" w:cstheme="majorHAnsi"/>
              </w:rPr>
              <w:lastRenderedPageBreak/>
              <w:t>składający się tylko z drugiego dania)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W przypadku tego rodzaju kosztu w uzasadnieniu pod budżetem należy wskazać informacje nt.: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rodzaju planowanego instrumentu;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przewidywanej liczby uczestników;</w:t>
            </w:r>
          </w:p>
          <w:p w:rsidR="00A52F09" w:rsidRPr="00D070CE" w:rsidRDefault="00A52F09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 (w tym liczbę godzin wsparcia w ciągu dnia);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 szkoleniowych)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1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np. uzależnień – umowa cywilnoprawa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115,00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Animator lokalny – umowa cywilnoprawna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95,00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Specjaliści ds. resocjalizacji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Trenerzy/organizatorzy zajęć sportowych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Terapeuci grupowi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Prowadzący zajęcia, warsztaty, treningi profilaktyczne, terapeutyczne i inne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niewyszczególnione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1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pedagogiczne i psychologiczne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18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specjalistyczne – terapia rodzinna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19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Zajęcia np. artystyczne, usprawniające naukę czytania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Ubezpieczenia grupowe uczestników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22,00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Wynajem sal szkoleniowych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komputerowa z wyposażeniem (komputery) dla ok. 8-15 osób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konferencyjna dla ok. 30-50 osób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16-30 osób</w:t>
            </w:r>
          </w:p>
          <w:p w:rsidR="00A52F09" w:rsidRPr="00291454" w:rsidRDefault="00A52F09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5-15 osób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80,00 zł brutto</w:t>
            </w: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50,00 zł brutto</w:t>
            </w: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koszt wynajmu sali wyposażonej, zgodnie z potrzebami projektu, m.in. w stoły, krzesła, tablice flipchart lub tablice suchościeralne, bezprzewodowy dostęp do Internetu oraz koszty utrzymania sali, w tym energii elektrycznej;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 zł brutto zestaw na uczestnika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 projektu;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 projektu szkolenia/warsztaty/doradztwo;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 niższa, jeśli finansowany jest mniejszy zakres usługi (np. notes i długopis);</w:t>
            </w:r>
          </w:p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 cena nie obejmuje kosztu logotypów (objęte są kosztami administracyjnymi).</w:t>
            </w:r>
          </w:p>
        </w:tc>
      </w:tr>
      <w:tr w:rsidR="00A52F09" w:rsidRPr="00291454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2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Nocleg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 zł brutto za osobę w pokoju dwuosobowym ze śniadaniem</w:t>
            </w:r>
          </w:p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120 zł brutto za osobę w pokoju jednoosobowym ze śniadaniem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nocleg, co do zasady w pokojach 2 – osobowych (nocleg w pokojach 1 – osobowych jest kwalifikowalny tylko w uzasadnionych przypadkach).</w:t>
            </w:r>
          </w:p>
        </w:tc>
      </w:tr>
      <w:tr w:rsidR="00A52F09" w:rsidRPr="00291454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Kolacja w przypadku organizacji wsparcia z noclegiem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Del="00BF0718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Laptop</w:t>
            </w:r>
          </w:p>
        </w:tc>
        <w:tc>
          <w:tcPr>
            <w:tcW w:w="555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2 500 zł brutto/sztuka w przypadku jednorazowego odpisu amortyzacyjnego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zostać uzasadniona we wniosku o dofinansowanie projektu;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laptop posiada parametry biurowe z oprogramowaniem systemowym i podstawowym pakietem biurowym (licencja na 12 miesięcy);</w:t>
            </w:r>
          </w:p>
        </w:tc>
      </w:tr>
      <w:tr w:rsidR="00A52F09" w:rsidRPr="00291454" w:rsidDel="00BF0718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Projektor multimedialny</w:t>
            </w:r>
          </w:p>
        </w:tc>
        <w:tc>
          <w:tcPr>
            <w:tcW w:w="555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2 400 zł brutto/sztuka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 przypadku jednorazowego odpisu amortyzacyjnego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wydatek kwalifikowalny, o ile nabycie projektora multimedialnego jest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niezbędne w celu wspomagania procesu wdrażania Konieczność zakupu urządzenia powinna zostać uzasadniona w części wniosku dostępnej pod budżetem szczegółowym;</w:t>
            </w:r>
          </w:p>
          <w:p w:rsidR="00A52F09" w:rsidRPr="00291454" w:rsidDel="00BF0718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A52F09" w:rsidRPr="00291454" w:rsidDel="00BF0718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2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Ekran projekcyjny</w:t>
            </w:r>
          </w:p>
        </w:tc>
        <w:tc>
          <w:tcPr>
            <w:tcW w:w="555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Del="00BF0718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430 zł brutto/sztuka w przypadku jednorazowego odpisu amortyzacyjnego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ekranu projekcyjnego jest niezbędne w celu wspomagania procesu wdrażania Konieczność zakupu urządzenia powinna zostać uzasadniona w części wniosku dostępnej pod budżetem szczegółowym;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A52F09" w:rsidRPr="00291454" w:rsidDel="00BF0718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28</w:t>
            </w:r>
          </w:p>
        </w:tc>
        <w:tc>
          <w:tcPr>
            <w:tcW w:w="866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Urządzenie wielofunkcyjne</w:t>
            </w:r>
          </w:p>
        </w:tc>
        <w:tc>
          <w:tcPr>
            <w:tcW w:w="555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Del="00BF0718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1 500 zł brutto/sztuka w przypadku jednorazowego odpisu amortyzacyjnego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urządzenia wielofunkcyjnego jest niezbędne w celu wspomagania procesu wdrażania projektu (udzielania wsparcia uczestnikom projektu), Konieczność zakupu urządzenia powinna zostać uzasadniona w części wniosku dostępnej pod budżetem szczegółowym;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  <w:p w:rsidR="00A52F09" w:rsidRPr="00291454" w:rsidDel="00BF0718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urządzenie posiada min. funkcję druku, kserokopiarki, skanera;</w:t>
            </w:r>
          </w:p>
        </w:tc>
      </w:tr>
      <w:tr w:rsidR="00A52F09" w:rsidRPr="00291454" w:rsidDel="00BF0718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29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Drukarka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Mikrofon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Kamera cyfrowa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A52F09" w:rsidRPr="00291454" w:rsidDel="00BF0718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fotograficzny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cyfrowy</w:t>
            </w:r>
          </w:p>
        </w:tc>
      </w:tr>
      <w:tr w:rsidR="00A52F09" w:rsidRPr="00291454" w:rsidDel="00BF0718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flipchart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350,00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bCs/>
                <w:sz w:val="20"/>
                <w:szCs w:val="20"/>
              </w:rPr>
              <w:t>Tablica magnetyczna, sucho ścieralna</w:t>
            </w:r>
          </w:p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52F09" w:rsidRPr="00291454" w:rsidDel="00BF0718" w:rsidTr="00A52F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291454" w:rsidRDefault="00A52F09" w:rsidP="00E175B6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magnetyczna</w:t>
            </w:r>
          </w:p>
        </w:tc>
        <w:tc>
          <w:tcPr>
            <w:tcW w:w="555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A52F09" w:rsidRPr="00291454" w:rsidRDefault="00A52F09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250,00 zł brutto</w:t>
            </w:r>
          </w:p>
        </w:tc>
        <w:tc>
          <w:tcPr>
            <w:tcW w:w="2556" w:type="pct"/>
          </w:tcPr>
          <w:p w:rsidR="00A52F09" w:rsidRPr="00291454" w:rsidRDefault="00A52F09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Minimalne wymiary 120cm x 90 cm, powierzchnia suchościeralna.</w:t>
            </w:r>
          </w:p>
        </w:tc>
      </w:tr>
      <w:tr w:rsidR="00A52F09" w:rsidRPr="00291454" w:rsidDel="00BF0718" w:rsidTr="00A5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A52F09" w:rsidRPr="005A62B0" w:rsidRDefault="00A52F09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5A62B0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A52F09" w:rsidRPr="005A62B0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t xml:space="preserve">Wartości projektu w przeliczeniu na jednego uczestnika (osobę </w:t>
            </w:r>
            <w:r w:rsidRPr="005A62B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zagrożoną ubóstwem lub wykluczeniem społecznym)</w:t>
            </w:r>
          </w:p>
        </w:tc>
        <w:tc>
          <w:tcPr>
            <w:tcW w:w="555" w:type="pct"/>
          </w:tcPr>
          <w:p w:rsidR="00A52F09" w:rsidRPr="005A62B0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osoba</w:t>
            </w:r>
          </w:p>
        </w:tc>
        <w:tc>
          <w:tcPr>
            <w:tcW w:w="777" w:type="pct"/>
          </w:tcPr>
          <w:p w:rsidR="00A52F09" w:rsidRPr="005A62B0" w:rsidRDefault="00A52F09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t>6000,00 zł</w:t>
            </w:r>
          </w:p>
        </w:tc>
        <w:tc>
          <w:tcPr>
            <w:tcW w:w="2556" w:type="pct"/>
          </w:tcPr>
          <w:p w:rsidR="00A52F09" w:rsidRPr="005A62B0" w:rsidRDefault="00A52F09" w:rsidP="0053455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62B0">
              <w:rPr>
                <w:rFonts w:asciiTheme="majorHAnsi" w:hAnsiTheme="majorHAnsi" w:cstheme="majorHAnsi"/>
                <w:sz w:val="20"/>
                <w:szCs w:val="20"/>
              </w:rPr>
              <w:t xml:space="preserve">Niezależnie od wartości projektu w przeliczeniu na jednego uczestnika (osoby zagrożonej ubóstwem lub wykluczeniem społecznym), która nie może przekroczyć 6.000,00 zł, w trakcie oceny wniosku o dofinansowanie badana </w:t>
            </w:r>
            <w:r w:rsidRPr="005A62B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będzie kwalifikowalność, zasadność i racjonalność poszczególnych wydatków przewidzianych w budżecie projektu.</w:t>
            </w:r>
          </w:p>
        </w:tc>
      </w:tr>
    </w:tbl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2355A6" w:rsidRPr="00291454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291454" w:rsidSect="00687AC6">
      <w:headerReference w:type="default" r:id="rId10"/>
      <w:footerReference w:type="default" r:id="rId11"/>
      <w:pgSz w:w="16838" w:h="11906" w:orient="landscape"/>
      <w:pgMar w:top="1126" w:right="720" w:bottom="709" w:left="720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A5" w:rsidRDefault="00646AA5" w:rsidP="00912606">
      <w:pPr>
        <w:spacing w:after="0" w:line="240" w:lineRule="auto"/>
      </w:pPr>
      <w:r>
        <w:separator/>
      </w:r>
    </w:p>
  </w:endnote>
  <w:endnote w:type="continuationSeparator" w:id="0">
    <w:p w:rsidR="00646AA5" w:rsidRDefault="00646AA5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7514"/>
      <w:docPartObj>
        <w:docPartGallery w:val="Page Numbers (Bottom of Page)"/>
        <w:docPartUnique/>
      </w:docPartObj>
    </w:sdtPr>
    <w:sdtEndPr/>
    <w:sdtContent>
      <w:p w:rsidR="00BE083B" w:rsidRDefault="00832423">
        <w:pPr>
          <w:pStyle w:val="Stopka"/>
          <w:jc w:val="right"/>
        </w:pPr>
        <w:r>
          <w:fldChar w:fldCharType="begin"/>
        </w:r>
        <w:r w:rsidR="00BE083B">
          <w:instrText>PAGE   \* MERGEFORMAT</w:instrText>
        </w:r>
        <w:r>
          <w:fldChar w:fldCharType="separate"/>
        </w:r>
        <w:r w:rsidR="00F73680">
          <w:rPr>
            <w:noProof/>
          </w:rPr>
          <w:t>4</w:t>
        </w:r>
        <w:r>
          <w:fldChar w:fldCharType="end"/>
        </w:r>
      </w:p>
    </w:sdtContent>
  </w:sdt>
  <w:p w:rsidR="00BE083B" w:rsidRDefault="00BE08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A5" w:rsidRDefault="00646AA5" w:rsidP="00912606">
      <w:pPr>
        <w:spacing w:after="0" w:line="240" w:lineRule="auto"/>
      </w:pPr>
      <w:r>
        <w:separator/>
      </w:r>
    </w:p>
  </w:footnote>
  <w:footnote w:type="continuationSeparator" w:id="0">
    <w:p w:rsidR="00646AA5" w:rsidRDefault="00646AA5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02" w:rsidRPr="00912606" w:rsidRDefault="00925302" w:rsidP="00687AC6">
    <w:pPr>
      <w:pStyle w:val="Nagwek"/>
      <w:tabs>
        <w:tab w:val="clear" w:pos="4536"/>
        <w:tab w:val="clear" w:pos="9072"/>
        <w:tab w:val="left" w:pos="658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06"/>
    <w:rsid w:val="0005302D"/>
    <w:rsid w:val="00073BE2"/>
    <w:rsid w:val="0008312E"/>
    <w:rsid w:val="00095C58"/>
    <w:rsid w:val="000A4CE1"/>
    <w:rsid w:val="000B4B4C"/>
    <w:rsid w:val="000C4D36"/>
    <w:rsid w:val="000D7FEF"/>
    <w:rsid w:val="000F45F4"/>
    <w:rsid w:val="00114D4F"/>
    <w:rsid w:val="0012713C"/>
    <w:rsid w:val="001336B1"/>
    <w:rsid w:val="00133BED"/>
    <w:rsid w:val="00134250"/>
    <w:rsid w:val="0019699A"/>
    <w:rsid w:val="001A351E"/>
    <w:rsid w:val="001A4104"/>
    <w:rsid w:val="001F1C1C"/>
    <w:rsid w:val="00203243"/>
    <w:rsid w:val="002052B1"/>
    <w:rsid w:val="00225329"/>
    <w:rsid w:val="002355A6"/>
    <w:rsid w:val="0024139B"/>
    <w:rsid w:val="00243306"/>
    <w:rsid w:val="00250790"/>
    <w:rsid w:val="002741D2"/>
    <w:rsid w:val="00274FB8"/>
    <w:rsid w:val="00282934"/>
    <w:rsid w:val="00291454"/>
    <w:rsid w:val="002A1712"/>
    <w:rsid w:val="002D2308"/>
    <w:rsid w:val="002E0104"/>
    <w:rsid w:val="003158F9"/>
    <w:rsid w:val="003172AB"/>
    <w:rsid w:val="003261F1"/>
    <w:rsid w:val="00344818"/>
    <w:rsid w:val="00361BCC"/>
    <w:rsid w:val="00382500"/>
    <w:rsid w:val="003E096A"/>
    <w:rsid w:val="003E7AF2"/>
    <w:rsid w:val="003F0666"/>
    <w:rsid w:val="00401EE8"/>
    <w:rsid w:val="00435683"/>
    <w:rsid w:val="004742BE"/>
    <w:rsid w:val="00477757"/>
    <w:rsid w:val="0048345E"/>
    <w:rsid w:val="004A7D7F"/>
    <w:rsid w:val="004B0AA8"/>
    <w:rsid w:val="004B6196"/>
    <w:rsid w:val="004E47F9"/>
    <w:rsid w:val="004F2A86"/>
    <w:rsid w:val="004F7AC1"/>
    <w:rsid w:val="00503031"/>
    <w:rsid w:val="00504379"/>
    <w:rsid w:val="00512520"/>
    <w:rsid w:val="005306C0"/>
    <w:rsid w:val="0053455D"/>
    <w:rsid w:val="0053478B"/>
    <w:rsid w:val="005507A8"/>
    <w:rsid w:val="00573E13"/>
    <w:rsid w:val="005757E6"/>
    <w:rsid w:val="00577795"/>
    <w:rsid w:val="00580414"/>
    <w:rsid w:val="00587ADF"/>
    <w:rsid w:val="0059443C"/>
    <w:rsid w:val="005A62B0"/>
    <w:rsid w:val="005B7CE7"/>
    <w:rsid w:val="005D22EA"/>
    <w:rsid w:val="005E426E"/>
    <w:rsid w:val="005F03B3"/>
    <w:rsid w:val="00602E2C"/>
    <w:rsid w:val="00611F8C"/>
    <w:rsid w:val="006123A2"/>
    <w:rsid w:val="00646AA5"/>
    <w:rsid w:val="00650A8A"/>
    <w:rsid w:val="00655C2E"/>
    <w:rsid w:val="0067297E"/>
    <w:rsid w:val="00687AC6"/>
    <w:rsid w:val="006B1599"/>
    <w:rsid w:val="006B5C4B"/>
    <w:rsid w:val="006C5323"/>
    <w:rsid w:val="006D24B9"/>
    <w:rsid w:val="006D6311"/>
    <w:rsid w:val="006E444F"/>
    <w:rsid w:val="00706B2E"/>
    <w:rsid w:val="007430B0"/>
    <w:rsid w:val="00746F84"/>
    <w:rsid w:val="00746FBA"/>
    <w:rsid w:val="00762141"/>
    <w:rsid w:val="007A225F"/>
    <w:rsid w:val="00801FDF"/>
    <w:rsid w:val="00807FC3"/>
    <w:rsid w:val="00832423"/>
    <w:rsid w:val="00833C94"/>
    <w:rsid w:val="00845E67"/>
    <w:rsid w:val="008678A7"/>
    <w:rsid w:val="00872A32"/>
    <w:rsid w:val="00894F21"/>
    <w:rsid w:val="008D5004"/>
    <w:rsid w:val="0090026E"/>
    <w:rsid w:val="00901FE2"/>
    <w:rsid w:val="00902DA4"/>
    <w:rsid w:val="00912606"/>
    <w:rsid w:val="00913D0E"/>
    <w:rsid w:val="00914CC3"/>
    <w:rsid w:val="00925302"/>
    <w:rsid w:val="009257DF"/>
    <w:rsid w:val="00925948"/>
    <w:rsid w:val="00931CFF"/>
    <w:rsid w:val="00952B22"/>
    <w:rsid w:val="00962C70"/>
    <w:rsid w:val="009756BF"/>
    <w:rsid w:val="00976DF3"/>
    <w:rsid w:val="00985563"/>
    <w:rsid w:val="00985C5D"/>
    <w:rsid w:val="0099268F"/>
    <w:rsid w:val="009B5EFF"/>
    <w:rsid w:val="009D1D0E"/>
    <w:rsid w:val="009D7A9D"/>
    <w:rsid w:val="009E2A01"/>
    <w:rsid w:val="009F78DC"/>
    <w:rsid w:val="00A02EFB"/>
    <w:rsid w:val="00A14AD4"/>
    <w:rsid w:val="00A44180"/>
    <w:rsid w:val="00A52F09"/>
    <w:rsid w:val="00A60637"/>
    <w:rsid w:val="00A71638"/>
    <w:rsid w:val="00A81D16"/>
    <w:rsid w:val="00AA442A"/>
    <w:rsid w:val="00AC0930"/>
    <w:rsid w:val="00AC46C9"/>
    <w:rsid w:val="00AD3404"/>
    <w:rsid w:val="00AE24EC"/>
    <w:rsid w:val="00AF3DED"/>
    <w:rsid w:val="00B2645E"/>
    <w:rsid w:val="00B80715"/>
    <w:rsid w:val="00B90A8D"/>
    <w:rsid w:val="00B962D0"/>
    <w:rsid w:val="00BB48B0"/>
    <w:rsid w:val="00BC043F"/>
    <w:rsid w:val="00BE083B"/>
    <w:rsid w:val="00C2418F"/>
    <w:rsid w:val="00C33C3C"/>
    <w:rsid w:val="00C36782"/>
    <w:rsid w:val="00C50122"/>
    <w:rsid w:val="00C51BF5"/>
    <w:rsid w:val="00C5213A"/>
    <w:rsid w:val="00C55DE5"/>
    <w:rsid w:val="00C56B38"/>
    <w:rsid w:val="00C733E4"/>
    <w:rsid w:val="00C85A16"/>
    <w:rsid w:val="00C93561"/>
    <w:rsid w:val="00CB26FF"/>
    <w:rsid w:val="00CB752B"/>
    <w:rsid w:val="00CC0571"/>
    <w:rsid w:val="00CC380F"/>
    <w:rsid w:val="00D10A5E"/>
    <w:rsid w:val="00D216B4"/>
    <w:rsid w:val="00D36A80"/>
    <w:rsid w:val="00D432B4"/>
    <w:rsid w:val="00D501CE"/>
    <w:rsid w:val="00D76848"/>
    <w:rsid w:val="00DA5343"/>
    <w:rsid w:val="00DB0256"/>
    <w:rsid w:val="00DD5CE9"/>
    <w:rsid w:val="00DE7BAF"/>
    <w:rsid w:val="00DF7A63"/>
    <w:rsid w:val="00E00C79"/>
    <w:rsid w:val="00E1288A"/>
    <w:rsid w:val="00E175B6"/>
    <w:rsid w:val="00E34727"/>
    <w:rsid w:val="00E5347E"/>
    <w:rsid w:val="00E5505D"/>
    <w:rsid w:val="00E8746C"/>
    <w:rsid w:val="00E91C89"/>
    <w:rsid w:val="00EA0BF0"/>
    <w:rsid w:val="00EA3317"/>
    <w:rsid w:val="00EB033B"/>
    <w:rsid w:val="00EF49D7"/>
    <w:rsid w:val="00F24A6E"/>
    <w:rsid w:val="00F339FB"/>
    <w:rsid w:val="00F515CA"/>
    <w:rsid w:val="00F57736"/>
    <w:rsid w:val="00F629F4"/>
    <w:rsid w:val="00F73680"/>
    <w:rsid w:val="00F80201"/>
    <w:rsid w:val="00F81A27"/>
    <w:rsid w:val="00F943AB"/>
    <w:rsid w:val="00F97608"/>
    <w:rsid w:val="00FC23A5"/>
    <w:rsid w:val="00FC2A1B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asnasiatkaakcent5">
    <w:name w:val="Light Grid Accent 5"/>
    <w:basedOn w:val="Standardowy"/>
    <w:uiPriority w:val="62"/>
    <w:rsid w:val="00FC23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asnasiatkaakcent5">
    <w:name w:val="Light Grid Accent 5"/>
    <w:basedOn w:val="Standardowy"/>
    <w:uiPriority w:val="62"/>
    <w:rsid w:val="00FC23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45A0-970C-4207-A2D0-959649D1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Witucka-Krygier</dc:creator>
  <cp:lastModifiedBy>POKL</cp:lastModifiedBy>
  <cp:revision>3</cp:revision>
  <cp:lastPrinted>2018-06-28T10:12:00Z</cp:lastPrinted>
  <dcterms:created xsi:type="dcterms:W3CDTF">2021-09-21T07:18:00Z</dcterms:created>
  <dcterms:modified xsi:type="dcterms:W3CDTF">2021-09-21T09:48:00Z</dcterms:modified>
</cp:coreProperties>
</file>