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6F" w:rsidRDefault="006A6A6F" w:rsidP="0085788C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6A6A6F" w:rsidRDefault="006A6A6F" w:rsidP="0085788C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6A6A6F" w:rsidRDefault="00C93107" w:rsidP="0085788C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05475" cy="600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A6F" w:rsidRDefault="006A6A6F" w:rsidP="002B1215">
      <w:pPr>
        <w:spacing w:after="0" w:line="360" w:lineRule="auto"/>
        <w:jc w:val="right"/>
        <w:rPr>
          <w:rFonts w:ascii="Bookman Old Style" w:eastAsia="Times New Roman" w:hAnsi="Bookman Old Style" w:cs="Arial"/>
          <w:lang w:eastAsia="pl-PL"/>
        </w:rPr>
      </w:pPr>
    </w:p>
    <w:p w:rsidR="006A6A6F" w:rsidRDefault="006A6A6F" w:rsidP="002B1215">
      <w:pPr>
        <w:spacing w:after="0" w:line="360" w:lineRule="auto"/>
        <w:jc w:val="right"/>
        <w:rPr>
          <w:rFonts w:ascii="Bookman Old Style" w:eastAsia="Times New Roman" w:hAnsi="Bookman Old Style" w:cs="Arial"/>
          <w:lang w:eastAsia="pl-PL"/>
        </w:rPr>
      </w:pPr>
    </w:p>
    <w:p w:rsidR="00B34EBE" w:rsidRPr="00E9158F" w:rsidRDefault="00B34EBE" w:rsidP="00B34EBE">
      <w:pPr>
        <w:tabs>
          <w:tab w:val="left" w:pos="0"/>
        </w:tabs>
        <w:spacing w:after="0" w:line="259" w:lineRule="auto"/>
        <w:ind w:left="360" w:right="-428"/>
        <w:jc w:val="right"/>
        <w:rPr>
          <w:rFonts w:ascii="Times New Roman" w:hAnsi="Times New Roman"/>
          <w:color w:val="FF0000"/>
          <w:sz w:val="24"/>
          <w:szCs w:val="24"/>
        </w:rPr>
      </w:pPr>
      <w:r w:rsidRPr="00E9158F">
        <w:rPr>
          <w:rFonts w:ascii="Times New Roman" w:hAnsi="Times New Roman"/>
          <w:color w:val="FF0000"/>
          <w:sz w:val="24"/>
          <w:szCs w:val="24"/>
        </w:rPr>
        <w:t>A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E9158F">
        <w:rPr>
          <w:rFonts w:ascii="Times New Roman" w:hAnsi="Times New Roman"/>
          <w:color w:val="FF0000"/>
          <w:sz w:val="24"/>
          <w:szCs w:val="24"/>
        </w:rPr>
        <w:t>3</w:t>
      </w:r>
      <w:r>
        <w:rPr>
          <w:rFonts w:ascii="Times New Roman" w:hAnsi="Times New Roman"/>
          <w:color w:val="FF0000"/>
          <w:sz w:val="24"/>
          <w:szCs w:val="24"/>
        </w:rPr>
        <w:t>.1.</w:t>
      </w:r>
      <w:r w:rsidR="00BE6CD2">
        <w:rPr>
          <w:rFonts w:ascii="Times New Roman" w:hAnsi="Times New Roman"/>
          <w:color w:val="FF0000"/>
          <w:sz w:val="24"/>
          <w:szCs w:val="24"/>
        </w:rPr>
        <w:t>c</w:t>
      </w:r>
      <w:r>
        <w:rPr>
          <w:rFonts w:ascii="Times New Roman" w:hAnsi="Times New Roman"/>
          <w:color w:val="FF0000"/>
          <w:sz w:val="24"/>
          <w:szCs w:val="24"/>
        </w:rPr>
        <w:t xml:space="preserve"> – Wzór</w:t>
      </w:r>
      <w:r w:rsidRPr="00E9158F">
        <w:rPr>
          <w:rFonts w:ascii="Times New Roman" w:hAnsi="Times New Roman"/>
          <w:color w:val="FF0000"/>
          <w:sz w:val="24"/>
          <w:szCs w:val="24"/>
        </w:rPr>
        <w:t xml:space="preserve"> Oświadczenie o kwalifikowalności podatku VAT</w:t>
      </w:r>
    </w:p>
    <w:p w:rsidR="0085788C" w:rsidRPr="0085788C" w:rsidRDefault="0085788C" w:rsidP="0085788C">
      <w:pPr>
        <w:spacing w:after="0" w:line="360" w:lineRule="auto"/>
        <w:rPr>
          <w:rFonts w:ascii="Bookman Old Style" w:eastAsia="Times New Roman" w:hAnsi="Bookman Old Style" w:cs="Arial"/>
          <w:lang w:eastAsia="pl-PL"/>
        </w:rPr>
      </w:pPr>
    </w:p>
    <w:p w:rsidR="0085788C" w:rsidRPr="0085788C" w:rsidRDefault="0085788C" w:rsidP="0085788C">
      <w:pPr>
        <w:spacing w:after="0" w:line="360" w:lineRule="auto"/>
        <w:jc w:val="center"/>
        <w:rPr>
          <w:rFonts w:ascii="Bookman Old Style" w:eastAsia="Times New Roman" w:hAnsi="Bookman Old Style" w:cs="Arial"/>
          <w:lang w:eastAsia="pl-PL"/>
        </w:rPr>
      </w:pPr>
      <w:r w:rsidRPr="0085788C">
        <w:rPr>
          <w:rFonts w:ascii="Bookman Old Style" w:eastAsia="Times New Roman" w:hAnsi="Bookman Old Style" w:cs="Arial"/>
          <w:lang w:eastAsia="pl-PL"/>
        </w:rPr>
        <w:t>OŚWIADCZENIE O KWALIFIKOWALNOŚCI PODATKU VAT</w:t>
      </w:r>
      <w:r w:rsidRPr="0085788C">
        <w:rPr>
          <w:rFonts w:ascii="Bookman Old Style" w:eastAsia="Times New Roman" w:hAnsi="Bookman Old Style" w:cs="Arial"/>
          <w:vertAlign w:val="superscript"/>
          <w:lang w:eastAsia="pl-PL"/>
        </w:rPr>
        <w:footnoteReference w:id="1"/>
      </w:r>
    </w:p>
    <w:p w:rsidR="0085788C" w:rsidRPr="0085788C" w:rsidRDefault="0085788C" w:rsidP="0085788C">
      <w:pPr>
        <w:spacing w:after="0" w:line="480" w:lineRule="auto"/>
        <w:rPr>
          <w:rFonts w:ascii="Bookman Old Style" w:eastAsia="Times New Roman" w:hAnsi="Bookman Old Style" w:cs="Arial"/>
          <w:lang w:eastAsia="pl-PL"/>
        </w:rPr>
      </w:pPr>
    </w:p>
    <w:p w:rsidR="0085788C" w:rsidRPr="0085788C" w:rsidRDefault="0085788C" w:rsidP="0085788C">
      <w:pPr>
        <w:keepNext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2F5496"/>
        <w:spacing w:before="120" w:after="120" w:line="240" w:lineRule="auto"/>
        <w:outlineLvl w:val="8"/>
        <w:rPr>
          <w:rFonts w:ascii="Bookman Old Style" w:eastAsia="Times New Roman" w:hAnsi="Bookman Old Style" w:cs="Times New Roman"/>
          <w:iCs/>
          <w:color w:val="FFFFFF"/>
          <w:sz w:val="20"/>
          <w:szCs w:val="21"/>
          <w:lang w:eastAsia="pl-PL"/>
        </w:rPr>
      </w:pPr>
      <w:r w:rsidRPr="0085788C">
        <w:rPr>
          <w:rFonts w:ascii="Bookman Old Style" w:eastAsia="Times New Roman" w:hAnsi="Bookman Old Style" w:cs="Times New Roman"/>
          <w:iCs/>
          <w:color w:val="FFFFFF"/>
          <w:sz w:val="20"/>
          <w:szCs w:val="21"/>
          <w:lang w:eastAsia="pl-PL"/>
        </w:rPr>
        <w:t>TEST KWALIFIKOWALNOŚCI PODATKU VAT</w:t>
      </w:r>
      <w:r w:rsidRPr="0085788C">
        <w:rPr>
          <w:rFonts w:ascii="Bookman Old Style" w:eastAsia="Times New Roman" w:hAnsi="Bookman Old Style" w:cs="Times New Roman"/>
          <w:iCs/>
          <w:color w:val="FFFFFF"/>
          <w:sz w:val="20"/>
          <w:szCs w:val="21"/>
          <w:vertAlign w:val="superscript"/>
          <w:lang w:eastAsia="pl-PL"/>
        </w:rPr>
        <w:footnoteReference w:id="2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8"/>
        <w:gridCol w:w="2194"/>
      </w:tblGrid>
      <w:tr w:rsidR="0085788C" w:rsidRPr="0085788C" w:rsidTr="00C84402">
        <w:trPr>
          <w:trHeight w:val="510"/>
        </w:trPr>
        <w:tc>
          <w:tcPr>
            <w:tcW w:w="3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85788C" w:rsidRPr="0085788C" w:rsidRDefault="0085788C" w:rsidP="0085788C">
            <w:pPr>
              <w:spacing w:before="120" w:after="120" w:line="360" w:lineRule="auto"/>
              <w:ind w:left="284" w:hanging="284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1. </w:t>
            </w:r>
            <w:r w:rsidRPr="0085788C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CZY </w:t>
            </w:r>
            <w:bookmarkStart w:id="0" w:name="_GoBack"/>
            <w:r w:rsidR="00FA111F">
              <w:rPr>
                <w:rFonts w:ascii="Bookman Old Style" w:eastAsia="Calibri" w:hAnsi="Bookman Old Style" w:cs="Times New Roman"/>
                <w:sz w:val="18"/>
                <w:szCs w:val="18"/>
              </w:rPr>
              <w:t>GRANTOBIOR</w:t>
            </w:r>
            <w:bookmarkEnd w:id="0"/>
            <w:r w:rsidRPr="0085788C">
              <w:rPr>
                <w:rFonts w:ascii="Bookman Old Style" w:eastAsia="Calibri" w:hAnsi="Bookman Old Style" w:cs="Times New Roman"/>
                <w:sz w:val="18"/>
                <w:szCs w:val="18"/>
              </w:rPr>
              <w:t>CA, W OKRESIE REALIZACJI I TRWAŁOŚCI PROJEKTU OBJĘTEGO GRANTEM, BYŁ/ JEST ZAREJESTROWANY LUB ZAMIERZA SIĘ ZAREJESTROWAĆ W URZĘDZIE SKARBOWYM, JAKO CZYNNY PODATNIK VAT ZGODNIE Z PRZEPISAMI PRAWA: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969557845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-677426616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NIE</w:t>
            </w:r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4"/>
            </w:r>
          </w:p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-107122659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5788C" w:rsidRPr="0085788C" w:rsidTr="0085788C">
        <w:trPr>
          <w:trHeight w:val="510"/>
        </w:trPr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noWrap/>
            <w:vAlign w:val="center"/>
            <w:hideMark/>
          </w:tcPr>
          <w:p w:rsidR="0085788C" w:rsidRPr="0085788C" w:rsidRDefault="0085788C" w:rsidP="0085788C">
            <w:pPr>
              <w:spacing w:before="120" w:after="120" w:line="360" w:lineRule="auto"/>
              <w:ind w:left="284" w:hanging="284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r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  <w:r w:rsidRPr="0085788C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CZY </w:t>
            </w:r>
            <w:r w:rsidR="00FA111F">
              <w:rPr>
                <w:rFonts w:ascii="Bookman Old Style" w:eastAsia="Calibri" w:hAnsi="Bookman Old Style" w:cs="Times New Roman"/>
                <w:sz w:val="18"/>
                <w:szCs w:val="18"/>
              </w:rPr>
              <w:t>GRANTOBIOR</w:t>
            </w:r>
            <w:r w:rsidRPr="0085788C">
              <w:rPr>
                <w:rFonts w:ascii="Bookman Old Style" w:eastAsia="Calibri" w:hAnsi="Bookman Old Style" w:cs="Times New Roman"/>
                <w:sz w:val="18"/>
                <w:szCs w:val="18"/>
              </w:rPr>
              <w:t>CA WYKORZYSTAŁ/ WYKORZYSTA W OKRESIE REALIZACJI I TRWAŁOŚCI PROJEKTU OBJĘTEGO GRANTEM W SPOSÓB BEZPOŚREDNI ZAKUPIONE PRZEZ NIEGO W RAMACH TEGO PROJEKTU TOWARY I USŁUGI DO WYKONANIA CZYNNOŚCI OPODATKOWANYCH</w:t>
            </w:r>
            <w:r w:rsidRPr="0085788C">
              <w:rPr>
                <w:rFonts w:ascii="Bookman Old Style" w:eastAsia="Calibri" w:hAnsi="Bookman Old Style" w:cs="Times New Roman"/>
                <w:sz w:val="18"/>
                <w:szCs w:val="18"/>
                <w:vertAlign w:val="superscript"/>
              </w:rPr>
              <w:footnoteReference w:id="5"/>
            </w:r>
            <w:r w:rsidRPr="0085788C">
              <w:rPr>
                <w:rFonts w:ascii="Bookman Old Style" w:eastAsia="Calibri" w:hAnsi="Bookman Old Style" w:cs="Times New Roman"/>
                <w:sz w:val="18"/>
                <w:szCs w:val="18"/>
              </w:rPr>
              <w:t>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7EE"/>
            <w:vAlign w:val="center"/>
            <w:hideMark/>
          </w:tcPr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1107700280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TAK</w:t>
            </w:r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83804402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NIE</w:t>
            </w:r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2002157122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CZĘŚCIOWO</w:t>
            </w:r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vertAlign w:val="superscript"/>
                <w:lang w:eastAsia="pl-PL"/>
              </w:rPr>
              <w:footnoteReference w:id="8"/>
            </w:r>
          </w:p>
          <w:p w:rsidR="0085788C" w:rsidRPr="0085788C" w:rsidRDefault="0067627F" w:rsidP="0085788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Bookman Old Style" w:eastAsia="Times New Roman" w:hAnsi="Bookman Old Style" w:cs="Times New Roman"/>
                  <w:color w:val="000000"/>
                  <w:sz w:val="48"/>
                  <w:szCs w:val="48"/>
                  <w:lang w:eastAsia="pl-PL"/>
                </w:rPr>
                <w:id w:val="1036781191"/>
              </w:sdtPr>
              <w:sdtEndPr/>
              <w:sdtContent>
                <w:r w:rsidR="0085788C" w:rsidRPr="0085788C">
                  <w:rPr>
                    <w:rFonts w:ascii="MS Gothic" w:eastAsia="MS Gothic" w:hAnsi="MS Gothic" w:cs="MS Gothic" w:hint="eastAsia"/>
                    <w:color w:val="000000"/>
                    <w:sz w:val="48"/>
                    <w:szCs w:val="48"/>
                    <w:lang w:eastAsia="pl-PL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l-PL"/>
              </w:rPr>
              <w:t xml:space="preserve"> NIE DOTYCZY</w:t>
            </w:r>
          </w:p>
        </w:tc>
      </w:tr>
    </w:tbl>
    <w:p w:rsidR="0085788C" w:rsidRPr="0085788C" w:rsidRDefault="0085788C" w:rsidP="0085788C">
      <w:pPr>
        <w:spacing w:after="0" w:line="240" w:lineRule="auto"/>
        <w:jc w:val="both"/>
        <w:rPr>
          <w:rFonts w:ascii="Bookman Old Style" w:eastAsia="Calibri" w:hAnsi="Bookman Old Style" w:cs="Times New Roman"/>
          <w:bCs/>
        </w:rPr>
      </w:pPr>
    </w:p>
    <w:p w:rsidR="0085788C" w:rsidRPr="0085788C" w:rsidRDefault="0085788C" w:rsidP="0085788C">
      <w:pPr>
        <w:keepNext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2F5496"/>
        <w:spacing w:before="120" w:after="120" w:line="240" w:lineRule="auto"/>
        <w:jc w:val="both"/>
        <w:outlineLvl w:val="8"/>
        <w:rPr>
          <w:rFonts w:ascii="Bookman Old Style" w:eastAsia="Times New Roman" w:hAnsi="Bookman Old Style" w:cs="Times New Roman"/>
          <w:iCs/>
          <w:color w:val="FFFFFF"/>
          <w:sz w:val="20"/>
          <w:szCs w:val="21"/>
        </w:rPr>
      </w:pPr>
      <w:r w:rsidRPr="0085788C">
        <w:rPr>
          <w:rFonts w:ascii="Bookman Old Style" w:eastAsia="Times New Roman" w:hAnsi="Bookman Old Style" w:cs="Times New Roman"/>
          <w:iCs/>
          <w:color w:val="FFFFFF"/>
          <w:sz w:val="20"/>
          <w:szCs w:val="21"/>
        </w:rPr>
        <w:t>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4"/>
      </w:tblGrid>
      <w:tr w:rsidR="0085788C" w:rsidRPr="0085788C" w:rsidTr="00C84402">
        <w:tc>
          <w:tcPr>
            <w:tcW w:w="7196" w:type="dxa"/>
            <w:shd w:val="clear" w:color="auto" w:fill="B8CCE4" w:themeFill="accent1" w:themeFillTint="66"/>
          </w:tcPr>
          <w:p w:rsidR="0085788C" w:rsidRPr="0085788C" w:rsidRDefault="0085788C" w:rsidP="0085788C">
            <w:pPr>
              <w:widowControl w:val="0"/>
              <w:spacing w:before="120" w:after="120"/>
              <w:jc w:val="center"/>
              <w:rPr>
                <w:rFonts w:ascii="Bookman Old Style" w:eastAsia="Calibri" w:hAnsi="Bookman Old Style" w:cs="Calibri"/>
                <w:b/>
                <w:bCs/>
                <w:sz w:val="20"/>
                <w:szCs w:val="20"/>
              </w:rPr>
            </w:pPr>
            <w:r w:rsidRPr="0085788C">
              <w:rPr>
                <w:rFonts w:ascii="Bookman Old Style" w:eastAsia="Calibri" w:hAnsi="Bookman Old Style" w:cs="Calibri"/>
                <w:bCs/>
                <w:sz w:val="20"/>
                <w:szCs w:val="20"/>
              </w:rPr>
              <w:t>OŚWIADCZENIE O BRAKU MOŻLIWOŚCI ODZYSKANIA PODATKU VAT</w:t>
            </w:r>
          </w:p>
        </w:tc>
        <w:tc>
          <w:tcPr>
            <w:tcW w:w="2014" w:type="dxa"/>
          </w:tcPr>
          <w:p w:rsidR="0085788C" w:rsidRPr="0085788C" w:rsidRDefault="0067627F" w:rsidP="0085788C">
            <w:pPr>
              <w:widowControl w:val="0"/>
              <w:jc w:val="center"/>
              <w:rPr>
                <w:rFonts w:ascii="Bookman Old Style" w:eastAsia="Calibri" w:hAnsi="Bookman Old Style" w:cs="Calibri"/>
                <w:b/>
                <w:bCs/>
                <w:i/>
                <w:lang w:val="en-US"/>
              </w:rPr>
            </w:pPr>
            <w:sdt>
              <w:sdtPr>
                <w:rPr>
                  <w:rFonts w:ascii="Bookman Old Style" w:eastAsia="Calibri" w:hAnsi="Bookman Old Style" w:cs="Calibri"/>
                  <w:b/>
                  <w:color w:val="000000"/>
                  <w:sz w:val="48"/>
                  <w:szCs w:val="48"/>
                  <w:lang w:val="en-US"/>
                </w:rPr>
                <w:id w:val="636619599"/>
              </w:sdtPr>
              <w:sdtEndPr/>
              <w:sdtContent>
                <w:r w:rsidR="0085788C" w:rsidRPr="00A725A7">
                  <w:rPr>
                    <w:rFonts w:ascii="MS Gothic" w:eastAsia="MS Gothic" w:hAnsi="MS Gothic" w:cs="MS Gothic" w:hint="eastAsia"/>
                    <w:b/>
                    <w:color w:val="000000"/>
                    <w:sz w:val="48"/>
                    <w:szCs w:val="48"/>
                    <w:lang w:val="en-US"/>
                  </w:rPr>
                  <w:t>☐</w:t>
                </w:r>
              </w:sdtContent>
            </w:sdt>
            <w:r w:rsidR="0085788C" w:rsidRPr="0085788C">
              <w:rPr>
                <w:rFonts w:ascii="Bookman Old Style" w:eastAsia="Calibri" w:hAnsi="Bookman Old Style" w:cs="Calibri"/>
                <w:color w:val="000000"/>
                <w:sz w:val="18"/>
                <w:lang w:val="en-US"/>
              </w:rPr>
              <w:t xml:space="preserve"> NIE DOTYCZY</w:t>
            </w:r>
          </w:p>
        </w:tc>
      </w:tr>
    </w:tbl>
    <w:p w:rsidR="0085788C" w:rsidRPr="0085788C" w:rsidRDefault="0085788C" w:rsidP="0085788C">
      <w:pPr>
        <w:widowControl w:val="0"/>
        <w:spacing w:before="120" w:after="120"/>
        <w:jc w:val="both"/>
        <w:rPr>
          <w:rFonts w:ascii="Bookman Old Style" w:eastAsia="Calibri" w:hAnsi="Bookman Old Style" w:cs="Calibri"/>
          <w:b/>
          <w:i/>
        </w:rPr>
      </w:pPr>
      <w:r w:rsidRPr="0085788C">
        <w:rPr>
          <w:rFonts w:ascii="Bookman Old Style" w:eastAsia="Calibri" w:hAnsi="Bookman Old Style" w:cs="Calibri"/>
        </w:rPr>
        <w:t xml:space="preserve">W związku z ubieganiem się o grant na projekt pt. </w:t>
      </w:r>
      <w:r w:rsidRPr="0085788C">
        <w:rPr>
          <w:rFonts w:ascii="Bookman Old Style" w:eastAsia="Calibri" w:hAnsi="Bookman Old Style" w:cs="Calibri"/>
          <w:color w:val="0070C0"/>
        </w:rPr>
        <w:t xml:space="preserve">(tytuł projektu objętego grantem) </w:t>
      </w:r>
      <w:r w:rsidRPr="0085788C">
        <w:rPr>
          <w:rFonts w:ascii="Bookman Old Style" w:eastAsia="Calibri" w:hAnsi="Bookman Old Style" w:cs="Calibri"/>
        </w:rPr>
        <w:t>w ramach realizacji strategii rozwoju lokalnego kierowanego przez społeczność</w:t>
      </w:r>
      <w:r w:rsidRPr="0085788C">
        <w:rPr>
          <w:rFonts w:ascii="Bookman Old Style" w:eastAsia="Calibri" w:hAnsi="Bookman Old Style" w:cs="Calibri"/>
          <w:color w:val="0070C0"/>
        </w:rPr>
        <w:t xml:space="preserve"> </w:t>
      </w:r>
      <w:r w:rsidR="003F6125">
        <w:rPr>
          <w:rFonts w:ascii="Bookman Old Style" w:eastAsia="Calibri" w:hAnsi="Bookman Old Style" w:cs="Calibri"/>
          <w:color w:val="0070C0"/>
        </w:rPr>
        <w:t>Stowarzyszenia NASZA KRAJNA</w:t>
      </w:r>
      <w:r w:rsidRPr="0085788C">
        <w:rPr>
          <w:rFonts w:ascii="Bookman Old Style" w:eastAsia="Calibri" w:hAnsi="Bookman Old Style" w:cs="Calibri"/>
          <w:color w:val="0070C0"/>
        </w:rPr>
        <w:t xml:space="preserve"> </w:t>
      </w:r>
      <w:r w:rsidRPr="0085788C">
        <w:rPr>
          <w:rFonts w:ascii="Bookman Old Style" w:eastAsia="Calibri" w:hAnsi="Bookman Old Style" w:cs="Calibri"/>
        </w:rPr>
        <w:t xml:space="preserve">w części finansowanej ze środków EFRR z osi 7 Regionalnego Programu Operacyjnego Województwa Kujawsko-Pomorskiego na lata 2014-2020 oświadczam, iż </w:t>
      </w:r>
      <w:r w:rsidRPr="0085788C">
        <w:rPr>
          <w:rFonts w:ascii="Bookman Old Style" w:eastAsia="Calibri" w:hAnsi="Bookman Old Style" w:cs="Calibri"/>
          <w:color w:val="0070C0"/>
        </w:rPr>
        <w:t>(</w:t>
      </w:r>
      <w:r w:rsidRPr="0085788C">
        <w:rPr>
          <w:rFonts w:ascii="Bookman Old Style" w:eastAsia="Calibri" w:hAnsi="Bookman Old Style" w:cs="Calibri"/>
          <w:iCs/>
          <w:color w:val="0070C0"/>
        </w:rPr>
        <w:t xml:space="preserve">nazwa </w:t>
      </w:r>
      <w:proofErr w:type="spellStart"/>
      <w:r w:rsidR="00FA111F">
        <w:rPr>
          <w:rFonts w:ascii="Bookman Old Style" w:eastAsia="Calibri" w:hAnsi="Bookman Old Style" w:cs="Calibri"/>
          <w:iCs/>
          <w:color w:val="0070C0"/>
        </w:rPr>
        <w:t>grantobior</w:t>
      </w:r>
      <w:r w:rsidRPr="0085788C">
        <w:rPr>
          <w:rFonts w:ascii="Bookman Old Style" w:eastAsia="Calibri" w:hAnsi="Bookman Old Style" w:cs="Calibri"/>
          <w:iCs/>
          <w:color w:val="0070C0"/>
        </w:rPr>
        <w:t>cy</w:t>
      </w:r>
      <w:proofErr w:type="spellEnd"/>
      <w:r w:rsidRPr="0085788C">
        <w:rPr>
          <w:rFonts w:ascii="Bookman Old Style" w:eastAsia="Calibri" w:hAnsi="Bookman Old Style" w:cs="Calibri"/>
          <w:iCs/>
          <w:color w:val="0070C0"/>
        </w:rPr>
        <w:t>)</w:t>
      </w:r>
      <w:r w:rsidRPr="0085788C">
        <w:rPr>
          <w:rFonts w:ascii="Bookman Old Style" w:eastAsia="Calibri" w:hAnsi="Bookman Old Style" w:cs="Calibri"/>
        </w:rPr>
        <w:t xml:space="preserve"> w chwili składania wniosku o powierzenie grantu nie może odzyskać w żaden sposób poniesionego kosztu podatku VAT, którego wysokość została określona we wniosku o powierzenie grantu. Jednocześnie oświadczam, że nie są obecnie znane mi żadne przesłanki, które mogą spowodować, że w przyszłości będzie istniała możliwość odzyskania tego podatku.</w:t>
      </w:r>
    </w:p>
    <w:p w:rsidR="0085788C" w:rsidRPr="0085788C" w:rsidRDefault="0085788C" w:rsidP="0085788C">
      <w:pPr>
        <w:widowControl w:val="0"/>
        <w:spacing w:after="120"/>
        <w:jc w:val="both"/>
        <w:rPr>
          <w:rFonts w:ascii="Bookman Old Style" w:eastAsia="Calibri" w:hAnsi="Bookman Old Style" w:cs="Calibri"/>
        </w:rPr>
      </w:pPr>
      <w:r w:rsidRPr="0085788C">
        <w:rPr>
          <w:rFonts w:ascii="Bookman Old Style" w:eastAsia="Calibri" w:hAnsi="Bookman Old Style" w:cs="Calibri"/>
        </w:rPr>
        <w:t xml:space="preserve">Brak możliwości odzyskania podatku VAT wynika z: </w:t>
      </w:r>
      <w:r w:rsidRPr="0085788C">
        <w:rPr>
          <w:rFonts w:ascii="Bookman Old Style" w:eastAsia="Calibri" w:hAnsi="Bookman Old Style" w:cs="Calibri"/>
          <w:color w:val="0070C0"/>
        </w:rPr>
        <w:t>(należy wskazać szczegółowe uzasadnienie z podaniem podstawy prawnej)</w:t>
      </w:r>
      <w:r w:rsidRPr="0085788C">
        <w:rPr>
          <w:rFonts w:ascii="Bookman Old Style" w:eastAsia="Calibri" w:hAnsi="Bookman Old Style" w:cs="Calibri"/>
        </w:rPr>
        <w:t>.</w:t>
      </w:r>
    </w:p>
    <w:p w:rsidR="0085788C" w:rsidRPr="0085788C" w:rsidRDefault="0085788C" w:rsidP="0085788C">
      <w:pPr>
        <w:widowControl w:val="0"/>
        <w:spacing w:after="120"/>
        <w:jc w:val="both"/>
        <w:rPr>
          <w:rFonts w:ascii="Bookman Old Style" w:eastAsia="Calibri" w:hAnsi="Bookman Old Style" w:cs="Calibri"/>
        </w:rPr>
      </w:pPr>
      <w:r w:rsidRPr="0085788C">
        <w:rPr>
          <w:rFonts w:ascii="Bookman Old Style" w:eastAsia="Calibri" w:hAnsi="Bookman Old Style" w:cs="Calibri"/>
        </w:rPr>
        <w:t xml:space="preserve">Ponadto </w:t>
      </w:r>
      <w:r w:rsidRPr="0085788C">
        <w:rPr>
          <w:rFonts w:ascii="Bookman Old Style" w:eastAsia="Calibri" w:hAnsi="Bookman Old Style" w:cs="Calibri"/>
          <w:bCs/>
        </w:rPr>
        <w:t>zobowiązuję się do zwrotu</w:t>
      </w:r>
      <w:r w:rsidRPr="0085788C">
        <w:rPr>
          <w:rFonts w:ascii="Bookman Old Style" w:eastAsia="Calibri" w:hAnsi="Bookman Old Style" w:cs="Calibri"/>
        </w:rPr>
        <w:t xml:space="preserve"> zrefundowanej ze środków unijnych części podatku VAT, jeżeli zaistnieją przesłanki umożliwiające odzyskanie tego podatku.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5788C" w:rsidRPr="0085788C" w:rsidTr="00C84402">
        <w:tc>
          <w:tcPr>
            <w:tcW w:w="9210" w:type="dxa"/>
            <w:shd w:val="clear" w:color="auto" w:fill="DBE5F1" w:themeFill="accent1" w:themeFillTint="33"/>
          </w:tcPr>
          <w:p w:rsidR="0085788C" w:rsidRPr="0085788C" w:rsidRDefault="0085788C" w:rsidP="0085788C">
            <w:pPr>
              <w:rPr>
                <w:rFonts w:ascii="Bookman Old Style" w:eastAsia="Times New Roman" w:hAnsi="Bookman Old Style" w:cs="Arial"/>
                <w:lang w:eastAsia="pl-PL"/>
              </w:rPr>
            </w:pPr>
            <w:r w:rsidRPr="0085788C">
              <w:rPr>
                <w:rFonts w:ascii="Bookman Old Style" w:eastAsia="Times New Roman" w:hAnsi="Bookman Old Style" w:cs="Arial"/>
                <w:lang w:eastAsia="pl-PL"/>
              </w:rPr>
              <w:t>Jestem świadoma/y odpowiedzialności karnej za podanie fałszywych danych lub złożenie fałszywych oświadczeń.</w:t>
            </w:r>
          </w:p>
        </w:tc>
      </w:tr>
      <w:tr w:rsidR="0085788C" w:rsidRPr="0085788C" w:rsidTr="00C84402">
        <w:tc>
          <w:tcPr>
            <w:tcW w:w="9210" w:type="dxa"/>
          </w:tcPr>
          <w:p w:rsidR="0085788C" w:rsidRPr="0085788C" w:rsidRDefault="0085788C" w:rsidP="0085788C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85788C" w:rsidRPr="0085788C" w:rsidRDefault="0085788C" w:rsidP="0085788C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pl-PL"/>
              </w:rPr>
            </w:pPr>
          </w:p>
          <w:p w:rsidR="0085788C" w:rsidRPr="0085788C" w:rsidRDefault="0085788C" w:rsidP="0085788C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85788C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................................ </w:t>
            </w:r>
            <w:r w:rsidRPr="0085788C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</w:r>
            <w:r w:rsidRPr="0085788C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ab/>
              <w:t xml:space="preserve">                       ...................................................................................</w:t>
            </w:r>
          </w:p>
          <w:p w:rsidR="0085788C" w:rsidRPr="0085788C" w:rsidRDefault="0085788C" w:rsidP="0085788C">
            <w:pPr>
              <w:autoSpaceDE w:val="0"/>
              <w:autoSpaceDN w:val="0"/>
              <w:adjustRightInd w:val="0"/>
              <w:ind w:left="4956" w:hanging="4389"/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</w:pPr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Data </w:t>
            </w:r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ab/>
              <w:t xml:space="preserve">  Podpis i pieczątka osoby/osób upoważnionej/</w:t>
            </w:r>
            <w:proofErr w:type="spellStart"/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</w:t>
            </w:r>
          </w:p>
          <w:p w:rsidR="0085788C" w:rsidRPr="0085788C" w:rsidRDefault="0085788C" w:rsidP="0085788C">
            <w:pPr>
              <w:autoSpaceDE w:val="0"/>
              <w:autoSpaceDN w:val="0"/>
              <w:adjustRightInd w:val="0"/>
              <w:ind w:left="4956" w:firstLine="7"/>
              <w:rPr>
                <w:rFonts w:ascii="Bookman Old Style" w:eastAsia="Times New Roman" w:hAnsi="Bookman Old Style" w:cs="Times New Roman"/>
                <w:sz w:val="18"/>
                <w:szCs w:val="18"/>
                <w:lang w:eastAsia="pl-PL"/>
              </w:rPr>
            </w:pPr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 xml:space="preserve"> do składania oświadczeń w imieniu </w:t>
            </w:r>
            <w:proofErr w:type="spellStart"/>
            <w:r w:rsidR="00FA111F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grantobior</w:t>
            </w:r>
            <w:r w:rsidRPr="0085788C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cy</w:t>
            </w:r>
            <w:proofErr w:type="spellEnd"/>
          </w:p>
        </w:tc>
      </w:tr>
    </w:tbl>
    <w:p w:rsidR="005C5173" w:rsidRDefault="005C5173"/>
    <w:sectPr w:rsidR="005C5173" w:rsidSect="006A6A6F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7F" w:rsidRDefault="0067627F" w:rsidP="0085788C">
      <w:pPr>
        <w:spacing w:after="0" w:line="240" w:lineRule="auto"/>
      </w:pPr>
      <w:r>
        <w:separator/>
      </w:r>
    </w:p>
  </w:endnote>
  <w:endnote w:type="continuationSeparator" w:id="0">
    <w:p w:rsidR="0067627F" w:rsidRDefault="0067627F" w:rsidP="0085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090231"/>
      <w:docPartObj>
        <w:docPartGallery w:val="Page Numbers (Bottom of Page)"/>
        <w:docPartUnique/>
      </w:docPartObj>
    </w:sdtPr>
    <w:sdtEndPr/>
    <w:sdtContent>
      <w:p w:rsidR="00264172" w:rsidRDefault="007526C6">
        <w:pPr>
          <w:pStyle w:val="Stopka"/>
          <w:jc w:val="right"/>
        </w:pPr>
        <w:r>
          <w:fldChar w:fldCharType="begin"/>
        </w:r>
        <w:r w:rsidR="00264172">
          <w:instrText>PAGE   \* MERGEFORMAT</w:instrText>
        </w:r>
        <w:r>
          <w:fldChar w:fldCharType="separate"/>
        </w:r>
        <w:r w:rsidR="00FA111F">
          <w:rPr>
            <w:noProof/>
          </w:rPr>
          <w:t>1</w:t>
        </w:r>
        <w:r>
          <w:fldChar w:fldCharType="end"/>
        </w:r>
      </w:p>
    </w:sdtContent>
  </w:sdt>
  <w:p w:rsidR="00264172" w:rsidRDefault="00264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7F" w:rsidRDefault="0067627F" w:rsidP="0085788C">
      <w:pPr>
        <w:spacing w:after="0" w:line="240" w:lineRule="auto"/>
      </w:pPr>
      <w:r>
        <w:separator/>
      </w:r>
    </w:p>
  </w:footnote>
  <w:footnote w:type="continuationSeparator" w:id="0">
    <w:p w:rsidR="0067627F" w:rsidRDefault="0067627F" w:rsidP="0085788C">
      <w:pPr>
        <w:spacing w:after="0" w:line="240" w:lineRule="auto"/>
      </w:pPr>
      <w:r>
        <w:continuationSeparator/>
      </w:r>
    </w:p>
  </w:footnote>
  <w:footnote w:id="1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Załącznik należy złożyć tylko w przypadku uznania podatku od towarów i usług (VAT) w ramach projektu objętego grantem za koszt w całości lub w części kwalifikowalny. W przypadku, gdy VAT w ramach projektu objętego grantem jest w całości niekwalifikowalny wówczas nie ma konieczności składania oświadczenia.</w:t>
      </w:r>
    </w:p>
    <w:p w:rsidR="0085788C" w:rsidRDefault="0085788C" w:rsidP="0085788C">
      <w:pPr>
        <w:pStyle w:val="Tekstprzypisudolnego"/>
      </w:pPr>
      <w:r w:rsidRPr="00F5526B">
        <w:t xml:space="preserve">Co do zasady podatek VAT może być uznany za koszt kwalifikowalny tylko wtedy, gdy </w:t>
      </w:r>
      <w:proofErr w:type="spellStart"/>
      <w:r w:rsidR="00FA111F">
        <w:t>grantobior</w:t>
      </w:r>
      <w:r>
        <w:t>ca</w:t>
      </w:r>
      <w:proofErr w:type="spellEnd"/>
      <w:r w:rsidRPr="00F5526B">
        <w:t xml:space="preserve"> nie ma prawnej możliwości jego odzyskania, niemniej jednak należy zapoznać się ze szczegółowymi zasadami kwalifikowania podatku VAT określonymi w </w:t>
      </w:r>
      <w:r w:rsidRPr="00F5526B">
        <w:rPr>
          <w:i/>
        </w:rPr>
        <w:t>Wytycznych w zakresie kwalifikowalności wydatków</w:t>
      </w:r>
      <w:r w:rsidRPr="00F5526B">
        <w:t xml:space="preserve"> (rozdział 6.13).</w:t>
      </w:r>
    </w:p>
    <w:p w:rsidR="0085788C" w:rsidRDefault="0085788C" w:rsidP="0085788C">
      <w:pPr>
        <w:pStyle w:val="Tekstprzypisudolnego"/>
      </w:pPr>
      <w:r>
        <w:t>W przypadkach wątpliwych, w celu zminimalizowania ryzyka niewłaściwego uznania podatku VAT za koszt kwalifikowalny, zaleca się wystąpienie do organu podatkowego o pisemną interpretację przepisów dotyczącą VAT-u.</w:t>
      </w:r>
    </w:p>
    <w:p w:rsidR="0085788C" w:rsidRDefault="0085788C" w:rsidP="0085788C">
      <w:pPr>
        <w:pStyle w:val="Tekstprzypisudolnego"/>
      </w:pPr>
      <w:r w:rsidRPr="00F5526B">
        <w:t xml:space="preserve">W przypadku, gdy informacje wskazane w niniejszym załączniku ulegną zmianie wówczas należy </w:t>
      </w:r>
      <w:r>
        <w:t>niezwłocznie poinformować LGD</w:t>
      </w:r>
      <w:r w:rsidRPr="00F5526B">
        <w:t>.</w:t>
      </w:r>
    </w:p>
  </w:footnote>
  <w:footnote w:id="2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26B">
        <w:t>Odpowiedzi na pytania powinien udzielić każdy podmiot składający oświadczenie w swoim imieniu</w:t>
      </w:r>
      <w:r>
        <w:t xml:space="preserve">. W teście należy zaznaczyć właściwą/e </w:t>
      </w:r>
      <w:r w:rsidRPr="00F5526B">
        <w:t>odpowiedź/</w:t>
      </w:r>
      <w:proofErr w:type="spellStart"/>
      <w:r w:rsidRPr="00F5526B">
        <w:t>dzi</w:t>
      </w:r>
      <w:proofErr w:type="spellEnd"/>
      <w:r>
        <w:t>.</w:t>
      </w:r>
    </w:p>
    <w:p w:rsidR="0085788C" w:rsidRDefault="0085788C" w:rsidP="0085788C">
      <w:pPr>
        <w:pStyle w:val="Tekstprzypisudolnego"/>
      </w:pPr>
      <w:r>
        <w:t>Test</w:t>
      </w:r>
      <w:r w:rsidRPr="003D0A07">
        <w:t xml:space="preserve"> stanowi narzędzie pomocnicze do oceny kwalifikowalności podatku VAT. Należy jednak zaznaczyć, że kwestię kwalifikowalności podatku VAT w ramach projektu </w:t>
      </w:r>
      <w:r>
        <w:t xml:space="preserve">objętego grantem </w:t>
      </w:r>
      <w:r w:rsidRPr="003D0A07">
        <w:t xml:space="preserve">należy rozpatrywać indywidualnie, z uwzględnieniem zapisów </w:t>
      </w:r>
      <w:r w:rsidRPr="003D0A07">
        <w:rPr>
          <w:i/>
        </w:rPr>
        <w:t>Wytycznych w zakresie kwalifikowalności wydatków</w:t>
      </w:r>
      <w:r w:rsidRPr="003D0A07">
        <w:t xml:space="preserve"> </w:t>
      </w:r>
      <w:r>
        <w:br/>
      </w:r>
      <w:r w:rsidRPr="003D0A07">
        <w:t xml:space="preserve">i w oparciu o przepisy </w:t>
      </w:r>
      <w:r w:rsidRPr="003D0A07">
        <w:rPr>
          <w:i/>
        </w:rPr>
        <w:t>ustawy o VAT</w:t>
      </w:r>
      <w:r w:rsidRPr="003D0A07">
        <w:t xml:space="preserve"> oraz rozporządzeń do tej ustawy.</w:t>
      </w:r>
    </w:p>
  </w:footnote>
  <w:footnote w:id="3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BDE">
        <w:t>W przy</w:t>
      </w:r>
      <w:r>
        <w:t>padku udzielania odpowiedzi „TAK</w:t>
      </w:r>
      <w:r w:rsidRPr="003C4BDE">
        <w:t>” na pytanie nr 1 należy udzielić odpo</w:t>
      </w:r>
      <w:r>
        <w:t>wiedzi również na pytanie nr 2.</w:t>
      </w:r>
    </w:p>
  </w:footnote>
  <w:footnote w:id="4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BC63B2">
        <w:t>p. zwolnienie podmiotowe na podstawie art. 15 ust. 6 ustawy o VAT, zwolnienie ze względu na obrót na podstawie art. 113 u</w:t>
      </w:r>
      <w:r>
        <w:t>st. 1 ustawy o VAT)</w:t>
      </w:r>
      <w:r w:rsidRPr="00BC63B2">
        <w:t xml:space="preserve"> - (w przypadku zazna</w:t>
      </w:r>
      <w:r>
        <w:t>czenia wyłącznie odpowiedzi „NIE</w:t>
      </w:r>
      <w:r w:rsidRPr="00BC63B2">
        <w:t>” podatek VAT</w:t>
      </w:r>
      <w:r>
        <w:t>,</w:t>
      </w:r>
      <w:r w:rsidRPr="00BC63B2">
        <w:t xml:space="preserve"> co do zasady</w:t>
      </w:r>
      <w:r>
        <w:t>,</w:t>
      </w:r>
      <w:r w:rsidRPr="00BC63B2">
        <w:t xml:space="preserve"> może być kosztem kwalifikowalnym)</w:t>
      </w:r>
      <w:r>
        <w:t>.</w:t>
      </w:r>
    </w:p>
    <w:p w:rsidR="0085788C" w:rsidRDefault="0085788C" w:rsidP="0085788C">
      <w:pPr>
        <w:pStyle w:val="Tekstprzypisudolnego"/>
      </w:pPr>
      <w:r w:rsidRPr="003C4BDE">
        <w:t>W przy</w:t>
      </w:r>
      <w:r>
        <w:t>padku udzielenia odpowiedzi „NIE</w:t>
      </w:r>
      <w:r w:rsidRPr="003C4BDE">
        <w:t>” na pytanie nr 1 należy pominąć pytanie nr 2, za</w:t>
      </w:r>
      <w:r>
        <w:t>znaczając odpowiedź „NIE DOTYCZY</w:t>
      </w:r>
      <w:r w:rsidRPr="003C4BDE">
        <w:t>”</w:t>
      </w:r>
    </w:p>
  </w:footnote>
  <w:footnote w:id="5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C4BDE">
        <w:t>tj. sprzedaż, najem, dzierżawa, leasing, odpłatne udostępnienie powierzchni, sprzętu lub inna czynność generująca przychody.</w:t>
      </w:r>
    </w:p>
  </w:footnote>
  <w:footnote w:id="6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344965">
        <w:t xml:space="preserve">odatek VAT co do zasady </w:t>
      </w:r>
      <w:r>
        <w:t>jest kosztem niekwalifikowalnym.</w:t>
      </w:r>
    </w:p>
  </w:footnote>
  <w:footnote w:id="7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P</w:t>
      </w:r>
      <w:r w:rsidRPr="00344965">
        <w:t>odatek VAT co do zasady m</w:t>
      </w:r>
      <w:r>
        <w:t>oże być kosztem kwalifikowalnym.</w:t>
      </w:r>
    </w:p>
  </w:footnote>
  <w:footnote w:id="8">
    <w:p w:rsidR="0085788C" w:rsidRDefault="0085788C" w:rsidP="0085788C">
      <w:pPr>
        <w:pStyle w:val="Tekstprzypisudolnego"/>
      </w:pPr>
      <w:r>
        <w:rPr>
          <w:rStyle w:val="Odwoanieprzypisudolnego"/>
        </w:rPr>
        <w:footnoteRef/>
      </w:r>
      <w:r>
        <w:t xml:space="preserve"> Np. zarówno do czynności opodatkowanych podatkiem VAT, jak i do czynności zwolnionych od podatku VAT). Przy czym (należy zaznaczyć właściwą/e odpowiedź/</w:t>
      </w:r>
      <w:proofErr w:type="spellStart"/>
      <w:r>
        <w:t>dzi</w:t>
      </w:r>
      <w:proofErr w:type="spellEnd"/>
      <w:r>
        <w:t>):</w:t>
      </w:r>
    </w:p>
    <w:p w:rsidR="0085788C" w:rsidRDefault="0085788C" w:rsidP="0085788C">
      <w:pPr>
        <w:pStyle w:val="Tekstprzypisudolnego"/>
      </w:pPr>
      <w:r>
        <w:t>•</w:t>
      </w:r>
      <w:r>
        <w:tab/>
        <w:t>możliwe jest wyodrębnienie części kwoty podatku naliczonego VAT, która może podlegać odliczeniu;</w:t>
      </w:r>
    </w:p>
    <w:p w:rsidR="0085788C" w:rsidRDefault="0085788C" w:rsidP="0085788C">
      <w:pPr>
        <w:pStyle w:val="Tekstprzypisudolnego"/>
      </w:pPr>
      <w:r>
        <w:t>•</w:t>
      </w:r>
      <w:r>
        <w:tab/>
        <w:t>do określenia kwoty podatku VAT naliczonego podlegającego odliczeniu niezbędne jest obliczenie proporcji, o której mowa w art. 90 ustawy o VAT.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E8A"/>
    <w:rsid w:val="000445F5"/>
    <w:rsid w:val="000508FF"/>
    <w:rsid w:val="001966E7"/>
    <w:rsid w:val="001A7F26"/>
    <w:rsid w:val="001E64BE"/>
    <w:rsid w:val="001F687C"/>
    <w:rsid w:val="00264172"/>
    <w:rsid w:val="002B1215"/>
    <w:rsid w:val="003F6125"/>
    <w:rsid w:val="00480C42"/>
    <w:rsid w:val="0048212D"/>
    <w:rsid w:val="00506249"/>
    <w:rsid w:val="005826D3"/>
    <w:rsid w:val="005C5173"/>
    <w:rsid w:val="005D4373"/>
    <w:rsid w:val="0067627F"/>
    <w:rsid w:val="006A6A6F"/>
    <w:rsid w:val="006C0EBA"/>
    <w:rsid w:val="007526C6"/>
    <w:rsid w:val="0085788C"/>
    <w:rsid w:val="00885656"/>
    <w:rsid w:val="008C25A9"/>
    <w:rsid w:val="009F2E8A"/>
    <w:rsid w:val="00A725A7"/>
    <w:rsid w:val="00A72CA4"/>
    <w:rsid w:val="00A83969"/>
    <w:rsid w:val="00B34EBE"/>
    <w:rsid w:val="00BE6CD2"/>
    <w:rsid w:val="00C93107"/>
    <w:rsid w:val="00C96AAB"/>
    <w:rsid w:val="00FA111F"/>
    <w:rsid w:val="00FA4A1D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88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85788C"/>
    <w:rPr>
      <w:vertAlign w:val="superscript"/>
    </w:rPr>
  </w:style>
  <w:style w:type="table" w:styleId="Tabela-Siatka">
    <w:name w:val="Table Grid"/>
    <w:basedOn w:val="Standardowy"/>
    <w:uiPriority w:val="39"/>
    <w:rsid w:val="0085788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2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72"/>
  </w:style>
  <w:style w:type="paragraph" w:styleId="Stopka">
    <w:name w:val="footer"/>
    <w:basedOn w:val="Normalny"/>
    <w:link w:val="StopkaZnak"/>
    <w:uiPriority w:val="99"/>
    <w:unhideWhenUsed/>
    <w:rsid w:val="0026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8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88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85788C"/>
    <w:rPr>
      <w:vertAlign w:val="superscript"/>
    </w:rPr>
  </w:style>
  <w:style w:type="table" w:styleId="Tabela-Siatka">
    <w:name w:val="Table Grid"/>
    <w:basedOn w:val="Standardowy"/>
    <w:uiPriority w:val="39"/>
    <w:rsid w:val="0085788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2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172"/>
  </w:style>
  <w:style w:type="paragraph" w:styleId="Stopka">
    <w:name w:val="footer"/>
    <w:basedOn w:val="Normalny"/>
    <w:link w:val="StopkaZnak"/>
    <w:uiPriority w:val="99"/>
    <w:unhideWhenUsed/>
    <w:rsid w:val="0026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Rekowski</cp:lastModifiedBy>
  <cp:revision>15</cp:revision>
  <dcterms:created xsi:type="dcterms:W3CDTF">2018-07-23T09:09:00Z</dcterms:created>
  <dcterms:modified xsi:type="dcterms:W3CDTF">2019-08-29T07:49:00Z</dcterms:modified>
</cp:coreProperties>
</file>